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E2C56" w14:textId="058FE106" w:rsidR="00B60201" w:rsidRDefault="00CE6B25">
      <w:r>
        <w:rPr>
          <w:noProof/>
        </w:rPr>
        <w:drawing>
          <wp:inline distT="0" distB="0" distL="0" distR="0" wp14:anchorId="7BB8682F" wp14:editId="51E361FB">
            <wp:extent cx="1231436" cy="933450"/>
            <wp:effectExtent l="0" t="0" r="6985" b="0"/>
            <wp:docPr id="336292651" name="Picture 1" descr="A blue outline of a person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92651" name="Picture 1" descr="A blue outline of a person runnin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7869" cy="938326"/>
                    </a:xfrm>
                    <a:prstGeom prst="rect">
                      <a:avLst/>
                    </a:prstGeom>
                  </pic:spPr>
                </pic:pic>
              </a:graphicData>
            </a:graphic>
          </wp:inline>
        </w:drawing>
      </w:r>
    </w:p>
    <w:p w14:paraId="6C380EEB" w14:textId="77777777" w:rsidR="00317DF4" w:rsidRDefault="00317DF4"/>
    <w:p w14:paraId="050F4BAA" w14:textId="3204AA03" w:rsidR="003818AF" w:rsidRPr="00F93C90" w:rsidRDefault="001D4E45" w:rsidP="003818AF">
      <w:pPr>
        <w:spacing w:before="9" w:after="0" w:line="240" w:lineRule="auto"/>
        <w:ind w:right="-20"/>
        <w:rPr>
          <w:rFonts w:eastAsia="Times New Roman" w:cstheme="minorHAnsi"/>
          <w:b/>
          <w:bCs/>
          <w:sz w:val="24"/>
          <w:szCs w:val="24"/>
        </w:rPr>
      </w:pPr>
      <w:r w:rsidRPr="00F93C90">
        <w:rPr>
          <w:rFonts w:eastAsia="Times New Roman" w:cstheme="minorHAnsi"/>
          <w:b/>
          <w:bCs/>
          <w:sz w:val="24"/>
          <w:szCs w:val="24"/>
        </w:rPr>
        <w:t>CUSTOMER ADVISORY</w:t>
      </w:r>
      <w:r w:rsidR="00BE218E" w:rsidRPr="00F93C90">
        <w:rPr>
          <w:rFonts w:eastAsia="Times New Roman" w:cstheme="minorHAnsi"/>
          <w:b/>
          <w:bCs/>
          <w:sz w:val="24"/>
          <w:szCs w:val="24"/>
        </w:rPr>
        <w:t xml:space="preserve"> NOTICE</w:t>
      </w:r>
      <w:r w:rsidR="003818AF" w:rsidRPr="00F93C90">
        <w:rPr>
          <w:rFonts w:eastAsia="Times New Roman" w:cstheme="minorHAnsi"/>
          <w:b/>
          <w:bCs/>
          <w:sz w:val="24"/>
          <w:szCs w:val="24"/>
        </w:rPr>
        <w:t>: 202</w:t>
      </w:r>
      <w:r w:rsidR="00E6173C">
        <w:rPr>
          <w:rFonts w:eastAsia="Times New Roman" w:cstheme="minorHAnsi"/>
          <w:b/>
          <w:bCs/>
          <w:sz w:val="24"/>
          <w:szCs w:val="24"/>
        </w:rPr>
        <w:t>6</w:t>
      </w:r>
      <w:r w:rsidR="003818AF" w:rsidRPr="00F93C90">
        <w:rPr>
          <w:rFonts w:eastAsia="Times New Roman" w:cstheme="minorHAnsi"/>
          <w:b/>
          <w:bCs/>
          <w:sz w:val="24"/>
          <w:szCs w:val="24"/>
        </w:rPr>
        <w:t>-</w:t>
      </w:r>
      <w:r w:rsidR="00E6173C">
        <w:rPr>
          <w:rFonts w:eastAsia="Times New Roman" w:cstheme="minorHAnsi"/>
          <w:b/>
          <w:bCs/>
          <w:sz w:val="24"/>
          <w:szCs w:val="24"/>
        </w:rPr>
        <w:t>01</w:t>
      </w:r>
    </w:p>
    <w:p w14:paraId="5B835A02" w14:textId="77777777" w:rsidR="00497915" w:rsidRPr="00F93C90" w:rsidRDefault="00497915" w:rsidP="003818AF">
      <w:pPr>
        <w:spacing w:before="9" w:after="0" w:line="240" w:lineRule="auto"/>
        <w:ind w:right="-20"/>
        <w:rPr>
          <w:rFonts w:eastAsia="Times New Roman" w:cstheme="minorHAnsi"/>
          <w:b/>
          <w:bCs/>
          <w:sz w:val="24"/>
          <w:szCs w:val="24"/>
        </w:rPr>
      </w:pPr>
    </w:p>
    <w:p w14:paraId="5BBF48BE" w14:textId="68B0AB96" w:rsidR="00497915" w:rsidRPr="00F93C90" w:rsidRDefault="00E6173C" w:rsidP="0077357A">
      <w:pPr>
        <w:spacing w:before="9" w:after="0" w:line="240" w:lineRule="auto"/>
        <w:ind w:right="-20"/>
        <w:rPr>
          <w:rFonts w:eastAsia="Times New Roman" w:cstheme="minorHAnsi"/>
          <w:b/>
          <w:bCs/>
          <w:sz w:val="24"/>
          <w:szCs w:val="24"/>
        </w:rPr>
      </w:pPr>
      <w:r>
        <w:rPr>
          <w:rFonts w:eastAsia="Times New Roman" w:cstheme="minorHAnsi"/>
          <w:b/>
          <w:bCs/>
          <w:sz w:val="24"/>
          <w:szCs w:val="24"/>
        </w:rPr>
        <w:t>Consumer Product Safety Commission</w:t>
      </w:r>
      <w:r w:rsidR="004F6487">
        <w:rPr>
          <w:rFonts w:eastAsia="Times New Roman" w:cstheme="minorHAnsi"/>
          <w:b/>
          <w:bCs/>
          <w:sz w:val="24"/>
          <w:szCs w:val="24"/>
        </w:rPr>
        <w:t xml:space="preserve"> (CPSC) </w:t>
      </w:r>
      <w:r>
        <w:rPr>
          <w:rFonts w:eastAsia="Times New Roman" w:cstheme="minorHAnsi"/>
          <w:b/>
          <w:bCs/>
          <w:sz w:val="24"/>
          <w:szCs w:val="24"/>
        </w:rPr>
        <w:t>eFiling Mandate</w:t>
      </w:r>
    </w:p>
    <w:p w14:paraId="585CA9FD" w14:textId="77777777" w:rsidR="003818AF" w:rsidRPr="00F93C90" w:rsidRDefault="003818AF" w:rsidP="003818AF">
      <w:pPr>
        <w:spacing w:before="3" w:after="0" w:line="150" w:lineRule="exact"/>
        <w:rPr>
          <w:rFonts w:cstheme="minorHAnsi"/>
          <w:sz w:val="24"/>
          <w:szCs w:val="24"/>
        </w:rPr>
      </w:pPr>
    </w:p>
    <w:p w14:paraId="75F235C9" w14:textId="77777777" w:rsidR="003818AF" w:rsidRDefault="003818AF" w:rsidP="00660C36">
      <w:pPr>
        <w:jc w:val="both"/>
        <w:rPr>
          <w:rFonts w:cstheme="minorHAnsi"/>
          <w:color w:val="000000"/>
          <w:sz w:val="24"/>
          <w:szCs w:val="24"/>
        </w:rPr>
      </w:pPr>
      <w:r w:rsidRPr="00F93C90">
        <w:rPr>
          <w:rFonts w:cstheme="minorHAnsi"/>
          <w:color w:val="000000"/>
          <w:sz w:val="24"/>
          <w:szCs w:val="24"/>
        </w:rPr>
        <w:t>To our valued IBC Customs Brokerage, Inc. customers,</w:t>
      </w:r>
    </w:p>
    <w:p w14:paraId="42E8432F" w14:textId="77777777" w:rsidR="004F6487" w:rsidRPr="004F6487" w:rsidRDefault="004F6487" w:rsidP="004F6487">
      <w:pPr>
        <w:jc w:val="both"/>
        <w:rPr>
          <w:rFonts w:cstheme="minorHAnsi"/>
          <w:color w:val="000000"/>
          <w:sz w:val="24"/>
          <w:szCs w:val="24"/>
        </w:rPr>
      </w:pPr>
      <w:r w:rsidRPr="004F6487">
        <w:rPr>
          <w:rFonts w:cstheme="minorHAnsi"/>
          <w:color w:val="000000"/>
          <w:sz w:val="24"/>
          <w:szCs w:val="24"/>
        </w:rPr>
        <w:t>eFiling is a CPSC initiative requiring importers of regulated consumer products to electronically submit (eFile) certificate of compliance data elements to U.S. Customs and Border Protection (CBP) through a Partner Government Agency (PGA) Message Set.</w:t>
      </w:r>
    </w:p>
    <w:p w14:paraId="63662821" w14:textId="77777777" w:rsidR="004F6487" w:rsidRDefault="004F6487" w:rsidP="004F6487">
      <w:pPr>
        <w:jc w:val="both"/>
        <w:rPr>
          <w:rFonts w:cstheme="minorHAnsi"/>
          <w:color w:val="000000"/>
          <w:sz w:val="24"/>
          <w:szCs w:val="24"/>
        </w:rPr>
      </w:pPr>
      <w:r w:rsidRPr="004F6487">
        <w:rPr>
          <w:rFonts w:cstheme="minorHAnsi"/>
          <w:color w:val="000000"/>
          <w:sz w:val="24"/>
          <w:szCs w:val="24"/>
        </w:rPr>
        <w:t>Requirements affecting most imported consumer products, as well as those manufactured domestically, will take effect on July 8, 2026. Requirements for consumer products imported into a Foreign Trade Zone (FTZ) and later entered for consumption or warehousing will take effect on January 8, 2027.</w:t>
      </w:r>
    </w:p>
    <w:p w14:paraId="10A77BB0" w14:textId="77777777" w:rsidR="00CF4AFF" w:rsidRDefault="00CF4AFF" w:rsidP="00CF4AFF">
      <w:pPr>
        <w:jc w:val="both"/>
        <w:rPr>
          <w:rFonts w:cstheme="minorHAnsi"/>
          <w:color w:val="000000"/>
          <w:sz w:val="24"/>
          <w:szCs w:val="24"/>
        </w:rPr>
      </w:pPr>
      <w:r w:rsidRPr="004F6487">
        <w:rPr>
          <w:rFonts w:cstheme="minorHAnsi"/>
          <w:color w:val="000000"/>
          <w:sz w:val="24"/>
          <w:szCs w:val="24"/>
        </w:rPr>
        <w:t>The CPSC has published on its website a list of approximately 600 HTSUS numbers that it believes are likely to cover products for which electronic submission of certificate of compliance information will be required starting July 8. However, this list does not include every HTSUS number that may require an electronic certificate.</w:t>
      </w:r>
    </w:p>
    <w:p w14:paraId="257DAF6E" w14:textId="77777777" w:rsidR="00CF4AFF" w:rsidRDefault="00CF4AFF" w:rsidP="00CF4AFF">
      <w:pPr>
        <w:jc w:val="both"/>
        <w:rPr>
          <w:rFonts w:cstheme="minorHAnsi"/>
          <w:color w:val="000000"/>
          <w:sz w:val="24"/>
          <w:szCs w:val="24"/>
        </w:rPr>
      </w:pPr>
      <w:r>
        <w:rPr>
          <w:rFonts w:cstheme="minorHAnsi"/>
          <w:color w:val="000000"/>
          <w:sz w:val="24"/>
          <w:szCs w:val="24"/>
        </w:rPr>
        <w:t>The List can be accessed via the link below:</w:t>
      </w:r>
    </w:p>
    <w:p w14:paraId="527DC7AA" w14:textId="5E63CCF7" w:rsidR="009D6151" w:rsidRDefault="0028417B" w:rsidP="004F6487">
      <w:pPr>
        <w:jc w:val="both"/>
        <w:rPr>
          <w:rFonts w:cstheme="minorHAnsi"/>
          <w:color w:val="000000"/>
          <w:sz w:val="24"/>
          <w:szCs w:val="24"/>
        </w:rPr>
      </w:pPr>
      <w:hyperlink r:id="rId8" w:history="1">
        <w:r w:rsidRPr="0028417B">
          <w:rPr>
            <w:rStyle w:val="Hyperlink"/>
            <w:rFonts w:cstheme="minorHAnsi"/>
            <w:sz w:val="24"/>
            <w:szCs w:val="24"/>
          </w:rPr>
          <w:t>CPSC Guidance and HTS List</w:t>
        </w:r>
      </w:hyperlink>
      <w:r>
        <w:rPr>
          <w:rFonts w:cstheme="minorHAnsi"/>
          <w:color w:val="000000"/>
          <w:sz w:val="24"/>
          <w:szCs w:val="24"/>
        </w:rPr>
        <w:t xml:space="preserve"> </w:t>
      </w:r>
    </w:p>
    <w:p w14:paraId="611E73D2" w14:textId="075D4309" w:rsidR="004F6487" w:rsidRPr="004F6487" w:rsidRDefault="004F6487" w:rsidP="004F6487">
      <w:pPr>
        <w:jc w:val="both"/>
        <w:rPr>
          <w:rFonts w:cstheme="minorHAnsi"/>
          <w:color w:val="000000"/>
          <w:sz w:val="24"/>
          <w:szCs w:val="24"/>
        </w:rPr>
      </w:pPr>
      <w:r w:rsidRPr="004F6487">
        <w:rPr>
          <w:rFonts w:cstheme="minorHAnsi"/>
          <w:color w:val="000000"/>
          <w:sz w:val="24"/>
          <w:szCs w:val="24"/>
        </w:rPr>
        <w:t>Importers must transmit the required Message Set data to CBP’s Automated Commercial Environment (ACE) at the time of entry. Once eFiling is fully implemented, there will be two available methods for doing so:</w:t>
      </w:r>
    </w:p>
    <w:p w14:paraId="0744E6CF" w14:textId="77777777" w:rsidR="00AC6D52" w:rsidRPr="00AC6D52" w:rsidRDefault="00AC6D52" w:rsidP="00AC6D52">
      <w:pPr>
        <w:jc w:val="both"/>
        <w:rPr>
          <w:rFonts w:cstheme="minorHAnsi"/>
          <w:color w:val="000000"/>
          <w:sz w:val="24"/>
          <w:szCs w:val="24"/>
        </w:rPr>
      </w:pPr>
      <w:r w:rsidRPr="00AC6D52">
        <w:rPr>
          <w:rFonts w:cstheme="minorHAnsi"/>
          <w:b/>
          <w:bCs/>
          <w:color w:val="000000"/>
          <w:sz w:val="24"/>
          <w:szCs w:val="24"/>
        </w:rPr>
        <w:t>Full PGA Message Set</w:t>
      </w:r>
    </w:p>
    <w:p w14:paraId="79573703" w14:textId="77777777" w:rsidR="00AC6D52" w:rsidRPr="00AC6D52" w:rsidRDefault="00AC6D52" w:rsidP="00AC6D52">
      <w:pPr>
        <w:numPr>
          <w:ilvl w:val="0"/>
          <w:numId w:val="4"/>
        </w:numPr>
        <w:jc w:val="both"/>
        <w:rPr>
          <w:rFonts w:cstheme="minorHAnsi"/>
          <w:color w:val="000000"/>
          <w:sz w:val="24"/>
          <w:szCs w:val="24"/>
        </w:rPr>
      </w:pPr>
      <w:r w:rsidRPr="00AC6D52">
        <w:rPr>
          <w:rFonts w:cstheme="minorHAnsi"/>
          <w:color w:val="000000"/>
          <w:sz w:val="24"/>
          <w:szCs w:val="24"/>
        </w:rPr>
        <w:t>Importers submit all required product certificate data elements directly through the PGA Message Set for transmission to CBP’s ACE system.</w:t>
      </w:r>
    </w:p>
    <w:p w14:paraId="21E6678D" w14:textId="77777777" w:rsidR="00AC6D52" w:rsidRPr="00AC6D52" w:rsidRDefault="00AC6D52" w:rsidP="00AC6D52">
      <w:pPr>
        <w:numPr>
          <w:ilvl w:val="0"/>
          <w:numId w:val="4"/>
        </w:numPr>
        <w:jc w:val="both"/>
        <w:rPr>
          <w:rFonts w:cstheme="minorHAnsi"/>
          <w:color w:val="000000"/>
          <w:sz w:val="24"/>
          <w:szCs w:val="24"/>
        </w:rPr>
      </w:pPr>
      <w:r w:rsidRPr="00AC6D52">
        <w:rPr>
          <w:rFonts w:cstheme="minorHAnsi"/>
          <w:color w:val="000000"/>
          <w:sz w:val="24"/>
          <w:szCs w:val="24"/>
        </w:rPr>
        <w:t>All seven required product certificate data elements must be included in the Message Set.</w:t>
      </w:r>
    </w:p>
    <w:p w14:paraId="1F1F50A2" w14:textId="77777777" w:rsidR="00AC6D52" w:rsidRPr="00AC6D52" w:rsidRDefault="00AC6D52" w:rsidP="00AC6D52">
      <w:pPr>
        <w:jc w:val="both"/>
        <w:rPr>
          <w:rFonts w:cstheme="minorHAnsi"/>
          <w:color w:val="000000"/>
          <w:sz w:val="24"/>
          <w:szCs w:val="24"/>
        </w:rPr>
      </w:pPr>
      <w:r w:rsidRPr="00AC6D52">
        <w:rPr>
          <w:rFonts w:cstheme="minorHAnsi"/>
          <w:b/>
          <w:bCs/>
          <w:color w:val="000000"/>
          <w:sz w:val="24"/>
          <w:szCs w:val="24"/>
        </w:rPr>
        <w:t>Reference PGA Message Set</w:t>
      </w:r>
    </w:p>
    <w:p w14:paraId="0F652A7A" w14:textId="77777777" w:rsidR="00AC6D52" w:rsidRDefault="00AC6D52" w:rsidP="00AC6D52">
      <w:pPr>
        <w:numPr>
          <w:ilvl w:val="0"/>
          <w:numId w:val="5"/>
        </w:numPr>
        <w:jc w:val="both"/>
        <w:rPr>
          <w:rFonts w:cstheme="minorHAnsi"/>
          <w:color w:val="000000"/>
          <w:sz w:val="24"/>
          <w:szCs w:val="24"/>
        </w:rPr>
      </w:pPr>
      <w:r w:rsidRPr="00AC6D52">
        <w:rPr>
          <w:rFonts w:cstheme="minorHAnsi"/>
          <w:color w:val="000000"/>
          <w:sz w:val="24"/>
          <w:szCs w:val="24"/>
        </w:rPr>
        <w:t>Importers first enter product certificate data elements into CPSC’s Product Registry and then transmit the applicable Certificate Identifier(s) through the PGA Message Set to CBP’s ACE system.</w:t>
      </w:r>
    </w:p>
    <w:p w14:paraId="4374EDEC" w14:textId="77777777" w:rsidR="00CF4AFF" w:rsidRPr="00AC6D52" w:rsidRDefault="00CF4AFF" w:rsidP="00CF4AFF">
      <w:pPr>
        <w:ind w:left="720"/>
        <w:jc w:val="both"/>
        <w:rPr>
          <w:rFonts w:cstheme="minorHAnsi"/>
          <w:color w:val="000000"/>
          <w:sz w:val="24"/>
          <w:szCs w:val="24"/>
        </w:rPr>
      </w:pPr>
    </w:p>
    <w:p w14:paraId="371B32B5" w14:textId="77777777" w:rsidR="00AC6D52" w:rsidRPr="00AC6D52" w:rsidRDefault="00AC6D52" w:rsidP="00AC6D52">
      <w:pPr>
        <w:numPr>
          <w:ilvl w:val="0"/>
          <w:numId w:val="5"/>
        </w:numPr>
        <w:jc w:val="both"/>
        <w:rPr>
          <w:rFonts w:cstheme="minorHAnsi"/>
          <w:color w:val="000000"/>
          <w:sz w:val="24"/>
          <w:szCs w:val="24"/>
        </w:rPr>
      </w:pPr>
      <w:r w:rsidRPr="00AC6D52">
        <w:rPr>
          <w:rFonts w:cstheme="minorHAnsi"/>
          <w:color w:val="000000"/>
          <w:sz w:val="24"/>
          <w:szCs w:val="24"/>
        </w:rPr>
        <w:t>The Product Registry allows product certificate data to be submitted by:</w:t>
      </w:r>
    </w:p>
    <w:p w14:paraId="29751FEC" w14:textId="77777777" w:rsidR="00AC6D52" w:rsidRPr="00AC6D52" w:rsidRDefault="00AC6D52" w:rsidP="00AC6D52">
      <w:pPr>
        <w:numPr>
          <w:ilvl w:val="1"/>
          <w:numId w:val="5"/>
        </w:numPr>
        <w:jc w:val="both"/>
        <w:rPr>
          <w:rFonts w:cstheme="minorHAnsi"/>
          <w:color w:val="000000"/>
          <w:sz w:val="24"/>
          <w:szCs w:val="24"/>
        </w:rPr>
      </w:pPr>
      <w:r w:rsidRPr="00AC6D52">
        <w:rPr>
          <w:rFonts w:cstheme="minorHAnsi"/>
          <w:color w:val="000000"/>
          <w:sz w:val="24"/>
          <w:szCs w:val="24"/>
        </w:rPr>
        <w:lastRenderedPageBreak/>
        <w:t>Manual entry through the user interface</w:t>
      </w:r>
    </w:p>
    <w:p w14:paraId="0D56763B" w14:textId="77777777" w:rsidR="00AC6D52" w:rsidRDefault="00AC6D52" w:rsidP="00AC6D52">
      <w:pPr>
        <w:numPr>
          <w:ilvl w:val="1"/>
          <w:numId w:val="5"/>
        </w:numPr>
        <w:jc w:val="both"/>
        <w:rPr>
          <w:rFonts w:cstheme="minorHAnsi"/>
          <w:color w:val="000000"/>
          <w:sz w:val="24"/>
          <w:szCs w:val="24"/>
        </w:rPr>
      </w:pPr>
      <w:r w:rsidRPr="00AC6D52">
        <w:rPr>
          <w:rFonts w:cstheme="minorHAnsi"/>
          <w:color w:val="000000"/>
          <w:sz w:val="24"/>
          <w:szCs w:val="24"/>
        </w:rPr>
        <w:t>Bulk upload via Comma Separated Value (CSV) file or an Application Programming Interface (API)</w:t>
      </w:r>
    </w:p>
    <w:p w14:paraId="2003AC5C" w14:textId="419EDBDB" w:rsidR="00C3305E" w:rsidRDefault="00C3305E" w:rsidP="00C3305E">
      <w:pPr>
        <w:jc w:val="both"/>
        <w:rPr>
          <w:rFonts w:cstheme="minorHAnsi"/>
          <w:color w:val="000000"/>
          <w:sz w:val="24"/>
          <w:szCs w:val="24"/>
        </w:rPr>
      </w:pPr>
      <w:r w:rsidRPr="00C3305E">
        <w:rPr>
          <w:rFonts w:cstheme="minorHAnsi"/>
          <w:color w:val="000000"/>
          <w:sz w:val="24"/>
          <w:szCs w:val="24"/>
        </w:rPr>
        <w:t xml:space="preserve">The eFiling initiative does not alter the consumer product safety requirements that apply to a specific product or shipment. Instead, it establishes a streamlined process for submitting product certificates to the CPSC and CBP. </w:t>
      </w:r>
      <w:r w:rsidR="0028417B" w:rsidRPr="00C3305E">
        <w:rPr>
          <w:rFonts w:cstheme="minorHAnsi"/>
          <w:color w:val="000000"/>
          <w:sz w:val="24"/>
          <w:szCs w:val="24"/>
        </w:rPr>
        <w:t>CPSC</w:t>
      </w:r>
      <w:r w:rsidRPr="00C3305E">
        <w:rPr>
          <w:rFonts w:cstheme="minorHAnsi"/>
          <w:color w:val="000000"/>
          <w:sz w:val="24"/>
          <w:szCs w:val="24"/>
        </w:rPr>
        <w:t xml:space="preserve"> offers a range of resources to help importers determine the applicable testing and certification requirements for their consumer products.</w:t>
      </w:r>
    </w:p>
    <w:p w14:paraId="75B50038" w14:textId="77777777" w:rsidR="00C3305E" w:rsidRDefault="00C3305E" w:rsidP="00C3305E">
      <w:pPr>
        <w:jc w:val="both"/>
        <w:rPr>
          <w:rFonts w:cstheme="minorHAnsi"/>
          <w:color w:val="000000"/>
          <w:sz w:val="24"/>
          <w:szCs w:val="24"/>
        </w:rPr>
      </w:pPr>
      <w:r w:rsidRPr="00C3305E">
        <w:rPr>
          <w:rFonts w:cstheme="minorHAnsi"/>
          <w:color w:val="000000"/>
          <w:sz w:val="24"/>
          <w:szCs w:val="24"/>
        </w:rPr>
        <w:t xml:space="preserve">Products must be certified if they are: </w:t>
      </w:r>
    </w:p>
    <w:p w14:paraId="2A7A6501" w14:textId="74FF86E7" w:rsidR="00C3305E" w:rsidRDefault="00C3305E" w:rsidP="00C3305E">
      <w:pPr>
        <w:jc w:val="both"/>
        <w:rPr>
          <w:rFonts w:cstheme="minorHAnsi"/>
          <w:color w:val="000000"/>
          <w:sz w:val="24"/>
          <w:szCs w:val="24"/>
        </w:rPr>
      </w:pPr>
      <w:r w:rsidRPr="00C3305E">
        <w:rPr>
          <w:rFonts w:ascii="Segoe UI Symbol" w:hAnsi="Segoe UI Symbol" w:cs="Segoe UI Symbol"/>
          <w:color w:val="000000"/>
          <w:sz w:val="24"/>
          <w:szCs w:val="24"/>
        </w:rPr>
        <w:t>✓</w:t>
      </w:r>
      <w:r w:rsidRPr="00C3305E">
        <w:rPr>
          <w:rFonts w:cstheme="minorHAnsi"/>
          <w:color w:val="000000"/>
          <w:sz w:val="24"/>
          <w:szCs w:val="24"/>
        </w:rPr>
        <w:t xml:space="preserve"> Finished products</w:t>
      </w:r>
    </w:p>
    <w:p w14:paraId="6D725554" w14:textId="0A4328DF" w:rsidR="00C3305E" w:rsidRDefault="00C3305E" w:rsidP="00C3305E">
      <w:pPr>
        <w:jc w:val="both"/>
        <w:rPr>
          <w:rFonts w:cstheme="minorHAnsi"/>
          <w:color w:val="000000"/>
          <w:sz w:val="24"/>
          <w:szCs w:val="24"/>
        </w:rPr>
      </w:pPr>
      <w:r w:rsidRPr="00C3305E">
        <w:rPr>
          <w:rFonts w:ascii="Segoe UI Symbol" w:hAnsi="Segoe UI Symbol" w:cs="Segoe UI Symbol"/>
          <w:color w:val="000000"/>
          <w:sz w:val="24"/>
          <w:szCs w:val="24"/>
        </w:rPr>
        <w:t>✓</w:t>
      </w:r>
      <w:r w:rsidRPr="00C3305E">
        <w:rPr>
          <w:rFonts w:cstheme="minorHAnsi"/>
          <w:color w:val="000000"/>
          <w:sz w:val="24"/>
          <w:szCs w:val="24"/>
        </w:rPr>
        <w:t xml:space="preserve"> Subject to a consumer product safety rule, ban, similar rule, standard, or regulation</w:t>
      </w:r>
    </w:p>
    <w:p w14:paraId="00E1CF51" w14:textId="77777777" w:rsidR="00C3305E" w:rsidRDefault="00C3305E" w:rsidP="00C3305E">
      <w:pPr>
        <w:jc w:val="both"/>
        <w:rPr>
          <w:rFonts w:cstheme="minorHAnsi"/>
          <w:color w:val="000000"/>
          <w:sz w:val="24"/>
          <w:szCs w:val="24"/>
        </w:rPr>
      </w:pPr>
      <w:r w:rsidRPr="00C3305E">
        <w:rPr>
          <w:rFonts w:ascii="Segoe UI Symbol" w:hAnsi="Segoe UI Symbol" w:cs="Segoe UI Symbol"/>
          <w:color w:val="000000"/>
          <w:sz w:val="24"/>
          <w:szCs w:val="24"/>
        </w:rPr>
        <w:t>✓</w:t>
      </w:r>
      <w:r w:rsidRPr="00C3305E">
        <w:rPr>
          <w:rFonts w:cstheme="minorHAnsi"/>
          <w:color w:val="000000"/>
          <w:sz w:val="24"/>
          <w:szCs w:val="24"/>
        </w:rPr>
        <w:t xml:space="preserve"> Imported for consumption or warehousing; or</w:t>
      </w:r>
    </w:p>
    <w:p w14:paraId="7D1A3D70" w14:textId="77777777" w:rsidR="00C3305E" w:rsidRDefault="00C3305E" w:rsidP="00C3305E">
      <w:pPr>
        <w:jc w:val="both"/>
        <w:rPr>
          <w:rFonts w:cstheme="minorHAnsi"/>
          <w:color w:val="000000"/>
          <w:sz w:val="24"/>
          <w:szCs w:val="24"/>
        </w:rPr>
      </w:pPr>
      <w:r w:rsidRPr="00C3305E">
        <w:rPr>
          <w:rFonts w:cstheme="minorHAnsi"/>
          <w:color w:val="000000"/>
          <w:sz w:val="24"/>
          <w:szCs w:val="24"/>
        </w:rPr>
        <w:t xml:space="preserve"> </w:t>
      </w:r>
      <w:r w:rsidRPr="00C3305E">
        <w:rPr>
          <w:rFonts w:ascii="Segoe UI Symbol" w:hAnsi="Segoe UI Symbol" w:cs="Segoe UI Symbol"/>
          <w:color w:val="000000"/>
          <w:sz w:val="24"/>
          <w:szCs w:val="24"/>
        </w:rPr>
        <w:t>✓</w:t>
      </w:r>
      <w:r w:rsidRPr="00C3305E">
        <w:rPr>
          <w:rFonts w:cstheme="minorHAnsi"/>
          <w:color w:val="000000"/>
          <w:sz w:val="24"/>
          <w:szCs w:val="24"/>
        </w:rPr>
        <w:t xml:space="preserve"> Distributed in commerce </w:t>
      </w:r>
    </w:p>
    <w:p w14:paraId="41D72844" w14:textId="71DB1750" w:rsidR="00C3305E" w:rsidRDefault="00C3305E" w:rsidP="00C3305E">
      <w:pPr>
        <w:jc w:val="both"/>
        <w:rPr>
          <w:rFonts w:cstheme="minorHAnsi"/>
          <w:color w:val="000000"/>
          <w:sz w:val="24"/>
          <w:szCs w:val="24"/>
        </w:rPr>
      </w:pPr>
      <w:r w:rsidRPr="00C3305E">
        <w:rPr>
          <w:rFonts w:cstheme="minorHAnsi"/>
          <w:color w:val="000000"/>
          <w:sz w:val="24"/>
          <w:szCs w:val="24"/>
        </w:rPr>
        <w:t>Note: There is no de minimis exemption for eFiling. Therefore, any product requiring certification must have an eFiled certificate, regardless of the value of the imported shipment.</w:t>
      </w:r>
    </w:p>
    <w:p w14:paraId="07DD3854" w14:textId="77777777" w:rsidR="00C3305E" w:rsidRDefault="00C3305E" w:rsidP="00C3305E">
      <w:pPr>
        <w:jc w:val="both"/>
        <w:rPr>
          <w:rFonts w:cstheme="minorHAnsi"/>
          <w:color w:val="000000"/>
          <w:sz w:val="24"/>
          <w:szCs w:val="24"/>
        </w:rPr>
      </w:pPr>
      <w:r w:rsidRPr="00C3305E">
        <w:rPr>
          <w:rFonts w:cstheme="minorHAnsi"/>
          <w:color w:val="000000"/>
          <w:sz w:val="24"/>
          <w:szCs w:val="24"/>
        </w:rPr>
        <w:t xml:space="preserve">When eFiling product certificates, importers must provide seven data elements to complete a Certificate of Compliance, as specified in 16 CFR 1110. </w:t>
      </w:r>
    </w:p>
    <w:p w14:paraId="7D32B6F2" w14:textId="77777777" w:rsidR="00C3305E" w:rsidRPr="00C3305E" w:rsidRDefault="00C3305E" w:rsidP="00C3305E">
      <w:pPr>
        <w:jc w:val="both"/>
        <w:rPr>
          <w:rFonts w:cstheme="minorHAnsi"/>
          <w:b/>
          <w:bCs/>
          <w:color w:val="000000"/>
          <w:sz w:val="24"/>
          <w:szCs w:val="24"/>
        </w:rPr>
      </w:pPr>
      <w:r w:rsidRPr="00C3305E">
        <w:rPr>
          <w:rFonts w:cstheme="minorHAnsi"/>
          <w:b/>
          <w:bCs/>
          <w:color w:val="000000"/>
          <w:sz w:val="24"/>
          <w:szCs w:val="24"/>
        </w:rPr>
        <w:t>Product ID</w:t>
      </w:r>
    </w:p>
    <w:p w14:paraId="429B40D7" w14:textId="77777777" w:rsidR="00C3305E" w:rsidRDefault="00C3305E" w:rsidP="00C3305E">
      <w:pPr>
        <w:jc w:val="both"/>
        <w:rPr>
          <w:rFonts w:cstheme="minorHAnsi"/>
          <w:color w:val="000000"/>
          <w:sz w:val="24"/>
          <w:szCs w:val="24"/>
        </w:rPr>
      </w:pPr>
      <w:r w:rsidRPr="00C3305E">
        <w:rPr>
          <w:rFonts w:cstheme="minorHAnsi"/>
          <w:color w:val="000000"/>
          <w:sz w:val="24"/>
          <w:szCs w:val="24"/>
        </w:rPr>
        <w:t>Identification of the finished product</w:t>
      </w:r>
    </w:p>
    <w:p w14:paraId="1D928141" w14:textId="77777777" w:rsidR="00C3305E" w:rsidRDefault="00C3305E" w:rsidP="00C3305E">
      <w:pPr>
        <w:jc w:val="both"/>
        <w:rPr>
          <w:rFonts w:cstheme="minorHAnsi"/>
          <w:color w:val="000000"/>
          <w:sz w:val="24"/>
          <w:szCs w:val="24"/>
        </w:rPr>
      </w:pPr>
      <w:r w:rsidRPr="00C3305E">
        <w:rPr>
          <w:rFonts w:cstheme="minorHAnsi"/>
          <w:b/>
          <w:bCs/>
          <w:color w:val="000000"/>
          <w:sz w:val="24"/>
          <w:szCs w:val="24"/>
        </w:rPr>
        <w:t>Citation Codes</w:t>
      </w:r>
    </w:p>
    <w:p w14:paraId="6B199039" w14:textId="1875682B" w:rsidR="00C3305E" w:rsidRDefault="00C3305E" w:rsidP="00C3305E">
      <w:pPr>
        <w:jc w:val="both"/>
        <w:rPr>
          <w:rFonts w:cstheme="minorHAnsi"/>
          <w:color w:val="000000"/>
          <w:sz w:val="24"/>
          <w:szCs w:val="24"/>
        </w:rPr>
      </w:pPr>
      <w:r w:rsidRPr="00C3305E">
        <w:rPr>
          <w:rFonts w:cstheme="minorHAnsi"/>
          <w:color w:val="000000"/>
          <w:sz w:val="24"/>
          <w:szCs w:val="24"/>
        </w:rPr>
        <w:t xml:space="preserve">Each consumer product safety rule to which the finished product has been certified </w:t>
      </w:r>
    </w:p>
    <w:p w14:paraId="05E1C805" w14:textId="77777777" w:rsidR="00C3305E" w:rsidRPr="00C3305E" w:rsidRDefault="00C3305E" w:rsidP="00C3305E">
      <w:pPr>
        <w:jc w:val="both"/>
        <w:rPr>
          <w:rFonts w:cstheme="minorHAnsi"/>
          <w:b/>
          <w:bCs/>
          <w:color w:val="000000"/>
          <w:sz w:val="24"/>
          <w:szCs w:val="24"/>
        </w:rPr>
      </w:pPr>
      <w:r w:rsidRPr="00C3305E">
        <w:rPr>
          <w:rFonts w:cstheme="minorHAnsi"/>
          <w:b/>
          <w:bCs/>
          <w:color w:val="000000"/>
          <w:sz w:val="24"/>
          <w:szCs w:val="24"/>
        </w:rPr>
        <w:t xml:space="preserve">Manufacture Date </w:t>
      </w:r>
    </w:p>
    <w:p w14:paraId="75DDF3B3" w14:textId="77777777" w:rsidR="00C3305E" w:rsidRDefault="00C3305E" w:rsidP="00C3305E">
      <w:pPr>
        <w:jc w:val="both"/>
        <w:rPr>
          <w:rFonts w:cstheme="minorHAnsi"/>
          <w:color w:val="000000"/>
          <w:sz w:val="24"/>
          <w:szCs w:val="24"/>
        </w:rPr>
      </w:pPr>
      <w:r w:rsidRPr="00C3305E">
        <w:rPr>
          <w:rFonts w:cstheme="minorHAnsi"/>
          <w:color w:val="000000"/>
          <w:sz w:val="24"/>
          <w:szCs w:val="24"/>
        </w:rPr>
        <w:t>Date when the finished product was manufactured</w:t>
      </w:r>
    </w:p>
    <w:p w14:paraId="731B3A13" w14:textId="77777777" w:rsidR="00C3305E" w:rsidRPr="00C3305E" w:rsidRDefault="00C3305E" w:rsidP="00C3305E">
      <w:pPr>
        <w:jc w:val="both"/>
        <w:rPr>
          <w:rFonts w:cstheme="minorHAnsi"/>
          <w:b/>
          <w:bCs/>
          <w:color w:val="000000"/>
          <w:sz w:val="24"/>
          <w:szCs w:val="24"/>
        </w:rPr>
      </w:pPr>
      <w:r w:rsidRPr="00C3305E">
        <w:rPr>
          <w:rFonts w:cstheme="minorHAnsi"/>
          <w:b/>
          <w:bCs/>
          <w:color w:val="000000"/>
          <w:sz w:val="24"/>
          <w:szCs w:val="24"/>
        </w:rPr>
        <w:t>Manufacture Place</w:t>
      </w:r>
    </w:p>
    <w:p w14:paraId="46B6CC6E" w14:textId="77777777" w:rsidR="00C3305E" w:rsidRDefault="00C3305E" w:rsidP="00C3305E">
      <w:pPr>
        <w:jc w:val="both"/>
        <w:rPr>
          <w:rFonts w:cstheme="minorHAnsi"/>
          <w:color w:val="000000"/>
          <w:sz w:val="24"/>
          <w:szCs w:val="24"/>
        </w:rPr>
      </w:pPr>
      <w:r w:rsidRPr="00C3305E">
        <w:rPr>
          <w:rFonts w:cstheme="minorHAnsi"/>
          <w:color w:val="000000"/>
          <w:sz w:val="24"/>
          <w:szCs w:val="24"/>
        </w:rPr>
        <w:t>Place where the finished product was manufactured, produced, or assembled, including the (1) name; (2) full address; and (3) contact information of the manufacturing party</w:t>
      </w:r>
    </w:p>
    <w:p w14:paraId="4276C9E2" w14:textId="77777777" w:rsidR="00C3305E" w:rsidRDefault="00C3305E" w:rsidP="00C3305E">
      <w:pPr>
        <w:jc w:val="both"/>
        <w:rPr>
          <w:rFonts w:cstheme="minorHAnsi"/>
          <w:color w:val="000000"/>
          <w:sz w:val="24"/>
          <w:szCs w:val="24"/>
        </w:rPr>
      </w:pPr>
      <w:r w:rsidRPr="00C3305E">
        <w:rPr>
          <w:rFonts w:cstheme="minorHAnsi"/>
          <w:b/>
          <w:bCs/>
          <w:color w:val="000000"/>
          <w:sz w:val="24"/>
          <w:szCs w:val="24"/>
        </w:rPr>
        <w:t>Product Test Date</w:t>
      </w:r>
      <w:r w:rsidRPr="00C3305E">
        <w:rPr>
          <w:rFonts w:cstheme="minorHAnsi"/>
          <w:color w:val="000000"/>
          <w:sz w:val="24"/>
          <w:szCs w:val="24"/>
        </w:rPr>
        <w:t xml:space="preserve"> </w:t>
      </w:r>
    </w:p>
    <w:p w14:paraId="7CDF4CBA" w14:textId="6B29ED05" w:rsidR="00C3305E" w:rsidRDefault="00C3305E" w:rsidP="00C3305E">
      <w:pPr>
        <w:jc w:val="both"/>
        <w:rPr>
          <w:rFonts w:cstheme="minorHAnsi"/>
          <w:color w:val="000000"/>
          <w:sz w:val="24"/>
          <w:szCs w:val="24"/>
        </w:rPr>
      </w:pPr>
      <w:r w:rsidRPr="00C3305E">
        <w:rPr>
          <w:rFonts w:cstheme="minorHAnsi"/>
          <w:color w:val="000000"/>
          <w:sz w:val="24"/>
          <w:szCs w:val="24"/>
        </w:rPr>
        <w:t xml:space="preserve">Date when the finished product was most recently tested for compliance </w:t>
      </w:r>
    </w:p>
    <w:p w14:paraId="240DB25E" w14:textId="77777777" w:rsidR="00C3305E" w:rsidRPr="00C3305E" w:rsidRDefault="00C3305E" w:rsidP="00C3305E">
      <w:pPr>
        <w:jc w:val="both"/>
        <w:rPr>
          <w:rFonts w:cstheme="minorHAnsi"/>
          <w:b/>
          <w:bCs/>
          <w:color w:val="000000"/>
          <w:sz w:val="24"/>
          <w:szCs w:val="24"/>
        </w:rPr>
      </w:pPr>
      <w:r w:rsidRPr="00C3305E">
        <w:rPr>
          <w:rFonts w:cstheme="minorHAnsi"/>
          <w:b/>
          <w:bCs/>
          <w:color w:val="000000"/>
          <w:sz w:val="24"/>
          <w:szCs w:val="24"/>
        </w:rPr>
        <w:t>Testing Laboratory</w:t>
      </w:r>
    </w:p>
    <w:p w14:paraId="48AC5150" w14:textId="77777777" w:rsidR="00C3305E" w:rsidRDefault="00C3305E" w:rsidP="00C3305E">
      <w:pPr>
        <w:jc w:val="both"/>
        <w:rPr>
          <w:rFonts w:cstheme="minorHAnsi"/>
          <w:color w:val="000000"/>
          <w:sz w:val="24"/>
          <w:szCs w:val="24"/>
        </w:rPr>
      </w:pPr>
      <w:r w:rsidRPr="00C3305E">
        <w:rPr>
          <w:rFonts w:cstheme="minorHAnsi"/>
          <w:color w:val="000000"/>
          <w:sz w:val="24"/>
          <w:szCs w:val="24"/>
        </w:rPr>
        <w:t>Party(ies) used for testing a certificate per 16 CFR Part 1110, including (1) name, (2) full address, and (3) contact information of testing entity</w:t>
      </w:r>
    </w:p>
    <w:p w14:paraId="3B4A7630" w14:textId="77777777" w:rsidR="00C3305E" w:rsidRPr="00C3305E" w:rsidRDefault="00C3305E" w:rsidP="00C3305E">
      <w:pPr>
        <w:jc w:val="both"/>
        <w:rPr>
          <w:rFonts w:cstheme="minorHAnsi"/>
          <w:b/>
          <w:bCs/>
          <w:color w:val="000000"/>
          <w:sz w:val="24"/>
          <w:szCs w:val="24"/>
        </w:rPr>
      </w:pPr>
      <w:r w:rsidRPr="00C3305E">
        <w:rPr>
          <w:rFonts w:cstheme="minorHAnsi"/>
          <w:b/>
          <w:bCs/>
          <w:color w:val="000000"/>
          <w:sz w:val="24"/>
          <w:szCs w:val="24"/>
        </w:rPr>
        <w:t>Point of Contact</w:t>
      </w:r>
    </w:p>
    <w:p w14:paraId="0BC80A72" w14:textId="32A4D9C4" w:rsidR="00C3305E" w:rsidRPr="00AC6D52" w:rsidRDefault="00C3305E" w:rsidP="00C3305E">
      <w:pPr>
        <w:jc w:val="both"/>
        <w:rPr>
          <w:rFonts w:cstheme="minorHAnsi"/>
          <w:color w:val="000000"/>
          <w:sz w:val="24"/>
          <w:szCs w:val="24"/>
        </w:rPr>
      </w:pPr>
      <w:r w:rsidRPr="00C3305E">
        <w:rPr>
          <w:rFonts w:cstheme="minorHAnsi"/>
          <w:color w:val="000000"/>
          <w:sz w:val="24"/>
          <w:szCs w:val="24"/>
        </w:rPr>
        <w:lastRenderedPageBreak/>
        <w:t>Contact information for the party maintaining records of test results, including (1) name, (2) full address, and (3) contact information</w:t>
      </w:r>
    </w:p>
    <w:p w14:paraId="3C3EDA32" w14:textId="77777777" w:rsidR="00C3305E" w:rsidRPr="00C3305E" w:rsidRDefault="00C3305E" w:rsidP="00C3305E">
      <w:pPr>
        <w:jc w:val="both"/>
        <w:rPr>
          <w:rFonts w:cstheme="minorHAnsi"/>
          <w:color w:val="000000"/>
          <w:sz w:val="24"/>
          <w:szCs w:val="24"/>
        </w:rPr>
      </w:pPr>
      <w:r w:rsidRPr="00C3305E">
        <w:rPr>
          <w:rFonts w:cstheme="minorHAnsi"/>
          <w:color w:val="000000"/>
          <w:sz w:val="24"/>
          <w:szCs w:val="24"/>
        </w:rPr>
        <w:t>Importers who elect to file Reference PGA Message Sets are required to use the Product Registry to enter the necessary Certificate of Compliance data elements. The CPSC Product Registry functions as a repository for product certificate information and does not interface directly with CBP’s ACE system. After a product certificate has been entered and certified in the Product Registry, importers must provide their broker with the certificate’s three Certificate Identifiers so the Reference PGA Message Set can properly reference the corresponding certificate in the Product Registry.</w:t>
      </w:r>
    </w:p>
    <w:p w14:paraId="52457E17" w14:textId="24400FCC" w:rsidR="00C3305E" w:rsidRPr="00C3305E" w:rsidRDefault="00C3305E" w:rsidP="00C3305E">
      <w:pPr>
        <w:jc w:val="both"/>
        <w:rPr>
          <w:rFonts w:cstheme="minorHAnsi"/>
          <w:color w:val="000000"/>
          <w:sz w:val="24"/>
          <w:szCs w:val="24"/>
        </w:rPr>
      </w:pPr>
      <w:r w:rsidRPr="00C3305E">
        <w:rPr>
          <w:rFonts w:cstheme="minorHAnsi"/>
          <w:color w:val="000000"/>
          <w:sz w:val="24"/>
          <w:szCs w:val="24"/>
        </w:rPr>
        <w:t xml:space="preserve">If the certificate details remain the same for a product, it only needs to be entered into the Product Registry once and may be referenced for subsequent shipments of that product. </w:t>
      </w:r>
    </w:p>
    <w:p w14:paraId="2C48D1CA" w14:textId="32EC061C" w:rsidR="0028417B" w:rsidRDefault="00AC6D52" w:rsidP="00F04487">
      <w:pPr>
        <w:jc w:val="both"/>
        <w:rPr>
          <w:rFonts w:cstheme="minorHAnsi"/>
          <w:color w:val="000000"/>
          <w:sz w:val="24"/>
          <w:szCs w:val="24"/>
        </w:rPr>
      </w:pPr>
      <w:r w:rsidRPr="00AC6D52">
        <w:rPr>
          <w:rFonts w:cstheme="minorHAnsi"/>
          <w:color w:val="000000"/>
          <w:sz w:val="24"/>
          <w:szCs w:val="24"/>
        </w:rPr>
        <w:t xml:space="preserve">CPSC is committed to supporting trade through the transition to eFiling full implementation. The eFiling webpage </w:t>
      </w:r>
      <w:r>
        <w:rPr>
          <w:rFonts w:cstheme="minorHAnsi"/>
          <w:color w:val="000000"/>
          <w:sz w:val="24"/>
          <w:szCs w:val="24"/>
        </w:rPr>
        <w:t>inc</w:t>
      </w:r>
      <w:r w:rsidRPr="00AC6D52">
        <w:rPr>
          <w:rFonts w:cstheme="minorHAnsi"/>
          <w:color w:val="000000"/>
          <w:sz w:val="24"/>
          <w:szCs w:val="24"/>
        </w:rPr>
        <w:t xml:space="preserve">ludes a full Document Library with comprehensive learning materials, including: </w:t>
      </w:r>
    </w:p>
    <w:p w14:paraId="5C60737E" w14:textId="06A5E5A1" w:rsidR="0028417B" w:rsidRDefault="0028417B" w:rsidP="00F04487">
      <w:pPr>
        <w:jc w:val="both"/>
        <w:rPr>
          <w:rFonts w:cstheme="minorHAnsi"/>
          <w:color w:val="000000"/>
          <w:sz w:val="24"/>
          <w:szCs w:val="24"/>
        </w:rPr>
      </w:pPr>
      <w:hyperlink r:id="rId9" w:history="1">
        <w:r w:rsidRPr="0028417B">
          <w:rPr>
            <w:rStyle w:val="Hyperlink"/>
            <w:rFonts w:cstheme="minorHAnsi"/>
            <w:sz w:val="24"/>
            <w:szCs w:val="24"/>
          </w:rPr>
          <w:t>eFiling – CPSC’s Modern Approach for Filing Certificate Data</w:t>
        </w:r>
      </w:hyperlink>
    </w:p>
    <w:p w14:paraId="7C8F6564" w14:textId="77777777" w:rsidR="0028417B" w:rsidRDefault="0028417B" w:rsidP="00F04487">
      <w:pPr>
        <w:jc w:val="both"/>
        <w:rPr>
          <w:rFonts w:cstheme="minorHAnsi"/>
          <w:color w:val="000000"/>
          <w:sz w:val="24"/>
          <w:szCs w:val="24"/>
        </w:rPr>
      </w:pPr>
    </w:p>
    <w:p w14:paraId="664F6704" w14:textId="55F01595" w:rsidR="00AC6D52" w:rsidRPr="00AC6D52" w:rsidRDefault="00AC6D52" w:rsidP="00AC6D52">
      <w:pPr>
        <w:pStyle w:val="ListParagraph"/>
        <w:numPr>
          <w:ilvl w:val="0"/>
          <w:numId w:val="7"/>
        </w:numPr>
        <w:jc w:val="both"/>
        <w:rPr>
          <w:rFonts w:cstheme="minorHAnsi"/>
          <w:color w:val="000000"/>
          <w:sz w:val="24"/>
          <w:szCs w:val="24"/>
        </w:rPr>
      </w:pPr>
      <w:r w:rsidRPr="00AC6D52">
        <w:rPr>
          <w:rFonts w:cstheme="minorHAnsi"/>
          <w:color w:val="000000"/>
          <w:sz w:val="24"/>
          <w:szCs w:val="24"/>
        </w:rPr>
        <w:t xml:space="preserve">eFiling Implementation Guide (CATAIR) </w:t>
      </w:r>
    </w:p>
    <w:p w14:paraId="3AA65276" w14:textId="3C28C0B3" w:rsidR="00AC6D52" w:rsidRPr="00AC6D52" w:rsidRDefault="00AC6D52" w:rsidP="00AC6D52">
      <w:pPr>
        <w:pStyle w:val="ListParagraph"/>
        <w:numPr>
          <w:ilvl w:val="0"/>
          <w:numId w:val="7"/>
        </w:numPr>
        <w:jc w:val="both"/>
        <w:rPr>
          <w:rFonts w:cstheme="minorHAnsi"/>
          <w:color w:val="000000"/>
          <w:sz w:val="24"/>
          <w:szCs w:val="24"/>
        </w:rPr>
      </w:pPr>
      <w:r w:rsidRPr="00AC6D52">
        <w:rPr>
          <w:rFonts w:cstheme="minorHAnsi"/>
          <w:color w:val="000000"/>
          <w:sz w:val="24"/>
          <w:szCs w:val="24"/>
        </w:rPr>
        <w:t xml:space="preserve">eFiling Product Registry Guide </w:t>
      </w:r>
    </w:p>
    <w:p w14:paraId="02421EEC" w14:textId="3E4E6C39" w:rsidR="00AC6D52" w:rsidRPr="00AC6D52" w:rsidRDefault="00AC6D52" w:rsidP="00AC6D52">
      <w:pPr>
        <w:pStyle w:val="ListParagraph"/>
        <w:numPr>
          <w:ilvl w:val="0"/>
          <w:numId w:val="7"/>
        </w:numPr>
        <w:jc w:val="both"/>
        <w:rPr>
          <w:rFonts w:cstheme="minorHAnsi"/>
          <w:color w:val="000000"/>
          <w:sz w:val="24"/>
          <w:szCs w:val="24"/>
        </w:rPr>
      </w:pPr>
      <w:r w:rsidRPr="00AC6D52">
        <w:rPr>
          <w:rFonts w:cstheme="minorHAnsi"/>
          <w:color w:val="000000"/>
          <w:sz w:val="24"/>
          <w:szCs w:val="24"/>
        </w:rPr>
        <w:t>Product Registry Training Videos</w:t>
      </w:r>
    </w:p>
    <w:p w14:paraId="157CCBAA" w14:textId="056194AD" w:rsidR="00AC6D52" w:rsidRPr="00AC6D52" w:rsidRDefault="00AC6D52" w:rsidP="00AC6D52">
      <w:pPr>
        <w:pStyle w:val="ListParagraph"/>
        <w:numPr>
          <w:ilvl w:val="0"/>
          <w:numId w:val="7"/>
        </w:numPr>
        <w:jc w:val="both"/>
        <w:rPr>
          <w:rFonts w:cstheme="minorHAnsi"/>
          <w:color w:val="000000"/>
          <w:sz w:val="24"/>
          <w:szCs w:val="24"/>
        </w:rPr>
      </w:pPr>
      <w:r w:rsidRPr="00AC6D52">
        <w:rPr>
          <w:rFonts w:cstheme="minorHAnsi"/>
          <w:color w:val="000000"/>
          <w:sz w:val="24"/>
          <w:szCs w:val="24"/>
        </w:rPr>
        <w:t>eFiling Frequently Asked Questions</w:t>
      </w:r>
    </w:p>
    <w:p w14:paraId="1C92DC66" w14:textId="52EB5449" w:rsidR="00AC6D52" w:rsidRPr="00AC6D52" w:rsidRDefault="00AC6D52" w:rsidP="00AC6D52">
      <w:pPr>
        <w:pStyle w:val="ListParagraph"/>
        <w:numPr>
          <w:ilvl w:val="0"/>
          <w:numId w:val="7"/>
        </w:numPr>
        <w:jc w:val="both"/>
        <w:rPr>
          <w:rFonts w:cstheme="minorHAnsi"/>
          <w:color w:val="000000"/>
          <w:sz w:val="24"/>
          <w:szCs w:val="24"/>
        </w:rPr>
      </w:pPr>
      <w:r w:rsidRPr="00AC6D52">
        <w:rPr>
          <w:rFonts w:cstheme="minorHAnsi"/>
          <w:color w:val="000000"/>
          <w:sz w:val="24"/>
          <w:szCs w:val="24"/>
        </w:rPr>
        <w:t>Product Registry Frequently Asked Questions</w:t>
      </w:r>
    </w:p>
    <w:p w14:paraId="1ACD8253" w14:textId="7A06333F" w:rsidR="00AC6D52" w:rsidRPr="00AC6D52" w:rsidRDefault="00AC6D52" w:rsidP="00AC6D52">
      <w:pPr>
        <w:pStyle w:val="ListParagraph"/>
        <w:numPr>
          <w:ilvl w:val="0"/>
          <w:numId w:val="7"/>
        </w:numPr>
        <w:jc w:val="both"/>
        <w:rPr>
          <w:rFonts w:cstheme="minorHAnsi"/>
          <w:color w:val="000000"/>
          <w:sz w:val="24"/>
          <w:szCs w:val="24"/>
        </w:rPr>
      </w:pPr>
      <w:r w:rsidRPr="00AC6D52">
        <w:rPr>
          <w:rFonts w:cstheme="minorHAnsi"/>
          <w:color w:val="000000"/>
          <w:sz w:val="24"/>
          <w:szCs w:val="24"/>
        </w:rPr>
        <w:t>Citation, Disclaim, and Testing Exclusion Codes and Guidance</w:t>
      </w:r>
    </w:p>
    <w:p w14:paraId="70D37AE6" w14:textId="7F815DE7" w:rsidR="00AC6D52" w:rsidRPr="00AC6D52" w:rsidRDefault="00AC6D52" w:rsidP="00AC6D52">
      <w:pPr>
        <w:pStyle w:val="ListParagraph"/>
        <w:numPr>
          <w:ilvl w:val="0"/>
          <w:numId w:val="7"/>
        </w:numPr>
        <w:jc w:val="both"/>
        <w:rPr>
          <w:rFonts w:cstheme="minorHAnsi"/>
          <w:color w:val="000000"/>
          <w:sz w:val="24"/>
          <w:szCs w:val="24"/>
        </w:rPr>
      </w:pPr>
      <w:r w:rsidRPr="00AC6D52">
        <w:rPr>
          <w:rFonts w:cstheme="minorHAnsi"/>
          <w:color w:val="000000"/>
          <w:sz w:val="24"/>
          <w:szCs w:val="24"/>
        </w:rPr>
        <w:t xml:space="preserve">User Guide and Template for CSV Upload </w:t>
      </w:r>
    </w:p>
    <w:p w14:paraId="01F3545C" w14:textId="216D5942" w:rsidR="004F6487" w:rsidRPr="00AC6D52" w:rsidRDefault="00AC6D52" w:rsidP="00AC6D52">
      <w:pPr>
        <w:pStyle w:val="ListParagraph"/>
        <w:numPr>
          <w:ilvl w:val="0"/>
          <w:numId w:val="7"/>
        </w:numPr>
        <w:jc w:val="both"/>
        <w:rPr>
          <w:rFonts w:cstheme="minorHAnsi"/>
          <w:color w:val="000000"/>
          <w:sz w:val="24"/>
          <w:szCs w:val="24"/>
        </w:rPr>
      </w:pPr>
      <w:r w:rsidRPr="00AC6D52">
        <w:rPr>
          <w:rFonts w:cstheme="minorHAnsi"/>
          <w:color w:val="000000"/>
          <w:sz w:val="24"/>
          <w:szCs w:val="24"/>
        </w:rPr>
        <w:t>API Specifications Document</w:t>
      </w:r>
    </w:p>
    <w:p w14:paraId="63BF56CB" w14:textId="54956C3C" w:rsidR="00660C36" w:rsidRPr="00F93C90" w:rsidRDefault="00660C36" w:rsidP="00A42F48">
      <w:pPr>
        <w:pStyle w:val="NormalWeb"/>
        <w:jc w:val="both"/>
        <w:rPr>
          <w:rFonts w:asciiTheme="minorHAnsi" w:hAnsiTheme="minorHAnsi" w:cstheme="minorHAnsi"/>
          <w:color w:val="000000"/>
        </w:rPr>
      </w:pPr>
      <w:r w:rsidRPr="00F93C90">
        <w:rPr>
          <w:rFonts w:asciiTheme="minorHAnsi" w:hAnsiTheme="minorHAnsi" w:cstheme="minorHAnsi"/>
          <w:color w:val="000000"/>
        </w:rPr>
        <w:t xml:space="preserve">IBC Customs Brokerage, Inc. (IBC) has multiple experienced and licensed U.S. Customs Brokers on staff that can assist with </w:t>
      </w:r>
      <w:r w:rsidR="00AC6D52">
        <w:rPr>
          <w:rFonts w:asciiTheme="minorHAnsi" w:hAnsiTheme="minorHAnsi" w:cstheme="minorHAnsi"/>
          <w:color w:val="000000"/>
        </w:rPr>
        <w:t>the CPSC eFiling requirements.</w:t>
      </w:r>
    </w:p>
    <w:p w14:paraId="2BC85E6C" w14:textId="77777777" w:rsidR="0028417B" w:rsidRDefault="00497915" w:rsidP="00A42F48">
      <w:pPr>
        <w:pStyle w:val="NormalWeb"/>
        <w:jc w:val="both"/>
        <w:rPr>
          <w:rFonts w:asciiTheme="minorHAnsi" w:hAnsiTheme="minorHAnsi" w:cstheme="minorHAnsi"/>
        </w:rPr>
      </w:pPr>
      <w:r w:rsidRPr="00F93C90">
        <w:rPr>
          <w:rFonts w:asciiTheme="minorHAnsi" w:hAnsiTheme="minorHAnsi" w:cstheme="minorHAnsi"/>
          <w:color w:val="000000"/>
        </w:rPr>
        <w:t xml:space="preserve">Please do not hesitate to contact an IBC representative Monday through Friday, 8:00 am to 4:00 pm (EST) </w:t>
      </w:r>
      <w:r w:rsidRPr="00F93C90">
        <w:rPr>
          <w:rFonts w:asciiTheme="minorHAnsi" w:hAnsiTheme="minorHAnsi" w:cstheme="minorHAnsi"/>
          <w:color w:val="000000" w:themeColor="text1"/>
        </w:rPr>
        <w:t xml:space="preserve">at (305)591-8080, </w:t>
      </w:r>
      <w:r w:rsidRPr="00F93C90">
        <w:rPr>
          <w:rFonts w:asciiTheme="minorHAnsi" w:hAnsiTheme="minorHAnsi" w:cstheme="minorHAnsi"/>
        </w:rPr>
        <w:t xml:space="preserve">(888)744-7422 or submit an online request via our website at  </w:t>
      </w:r>
      <w:r w:rsidR="0028417B">
        <w:rPr>
          <w:rFonts w:asciiTheme="minorHAnsi" w:hAnsiTheme="minorHAnsi" w:cstheme="minorHAnsi"/>
        </w:rPr>
        <w:t xml:space="preserve">  </w:t>
      </w:r>
    </w:p>
    <w:p w14:paraId="6E8CED03" w14:textId="40DB2A21" w:rsidR="00497915" w:rsidRPr="0028417B" w:rsidRDefault="0028417B" w:rsidP="00A42F48">
      <w:pPr>
        <w:pStyle w:val="NormalWeb"/>
        <w:jc w:val="both"/>
        <w:rPr>
          <w:rFonts w:asciiTheme="minorHAnsi" w:hAnsiTheme="minorHAnsi" w:cstheme="minorHAnsi"/>
        </w:rPr>
      </w:pPr>
      <w:hyperlink r:id="rId10" w:history="1">
        <w:r w:rsidRPr="0028417B">
          <w:rPr>
            <w:rStyle w:val="Hyperlink"/>
            <w:rFonts w:asciiTheme="minorHAnsi" w:hAnsiTheme="minorHAnsi" w:cstheme="minorHAnsi"/>
          </w:rPr>
          <w:t>Talk to Sales</w:t>
        </w:r>
      </w:hyperlink>
      <w:r>
        <w:rPr>
          <w:rFonts w:asciiTheme="minorHAnsi" w:hAnsiTheme="minorHAnsi" w:cstheme="minorHAnsi"/>
        </w:rPr>
        <w:t xml:space="preserve"> </w:t>
      </w:r>
      <w:r w:rsidR="00497915" w:rsidRPr="00F93C90">
        <w:rPr>
          <w:rFonts w:asciiTheme="minorHAnsi" w:hAnsiTheme="minorHAnsi" w:cstheme="minorHAnsi"/>
          <w:color w:val="000000"/>
        </w:rPr>
        <w:t>should you require additional information or assistance in complying with any other CBP policy, procedure, or law.</w:t>
      </w:r>
    </w:p>
    <w:p w14:paraId="2F6D8B05" w14:textId="77777777" w:rsidR="00497915" w:rsidRPr="00F93C90" w:rsidRDefault="00497915" w:rsidP="0028417B">
      <w:pPr>
        <w:pStyle w:val="xmsonormal"/>
        <w:shd w:val="clear" w:color="auto" w:fill="FFFFFF"/>
        <w:spacing w:before="0" w:beforeAutospacing="0" w:after="0" w:afterAutospacing="0"/>
        <w:rPr>
          <w:rFonts w:asciiTheme="minorHAnsi" w:hAnsiTheme="minorHAnsi" w:cstheme="minorHAnsi"/>
          <w:color w:val="242424"/>
        </w:rPr>
      </w:pPr>
      <w:r w:rsidRPr="00F93C90">
        <w:rPr>
          <w:rFonts w:asciiTheme="minorHAnsi" w:hAnsiTheme="minorHAnsi" w:cstheme="minorHAnsi"/>
          <w:color w:val="242424"/>
        </w:rPr>
        <w:t>Thank you for your attention to this matter, and we appreciate your continued partnership.</w:t>
      </w:r>
    </w:p>
    <w:p w14:paraId="1C94C074" w14:textId="516AD9DB" w:rsidR="00660C36" w:rsidRPr="00F93C90" w:rsidRDefault="00660C36" w:rsidP="0028417B">
      <w:pPr>
        <w:pStyle w:val="NormalWeb"/>
        <w:rPr>
          <w:rFonts w:asciiTheme="minorHAnsi" w:hAnsiTheme="minorHAnsi" w:cstheme="minorHAnsi"/>
          <w:color w:val="000000"/>
        </w:rPr>
      </w:pPr>
      <w:r w:rsidRPr="00F93C90">
        <w:rPr>
          <w:rFonts w:asciiTheme="minorHAnsi" w:hAnsiTheme="minorHAnsi" w:cstheme="minorHAnsi"/>
          <w:color w:val="000000"/>
        </w:rPr>
        <w:t>Compliance Team</w:t>
      </w:r>
      <w:r w:rsidR="0028417B">
        <w:rPr>
          <w:rFonts w:asciiTheme="minorHAnsi" w:hAnsiTheme="minorHAnsi" w:cstheme="minorHAnsi"/>
          <w:color w:val="000000"/>
        </w:rPr>
        <w:t>,</w:t>
      </w:r>
    </w:p>
    <w:p w14:paraId="11A7D492" w14:textId="77777777" w:rsidR="00660C36" w:rsidRPr="00F93C90" w:rsidRDefault="00660C36" w:rsidP="00660C36">
      <w:pPr>
        <w:pStyle w:val="NormalWeb"/>
        <w:rPr>
          <w:rFonts w:asciiTheme="minorHAnsi" w:hAnsiTheme="minorHAnsi" w:cstheme="minorHAnsi"/>
        </w:rPr>
      </w:pPr>
      <w:r w:rsidRPr="00F93C90">
        <w:rPr>
          <w:rFonts w:asciiTheme="minorHAnsi" w:hAnsiTheme="minorHAnsi" w:cstheme="minorHAnsi"/>
          <w:color w:val="000000"/>
        </w:rPr>
        <w:t>IBC Customs Brokerage, Inc.</w:t>
      </w:r>
    </w:p>
    <w:sectPr w:rsidR="00660C36" w:rsidRPr="00F93C90" w:rsidSect="009E57E6">
      <w:footerReference w:type="default" r:id="rId11"/>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66198" w14:textId="77777777" w:rsidR="000F0D5C" w:rsidRDefault="000F0D5C" w:rsidP="00144B34">
      <w:pPr>
        <w:spacing w:after="0" w:line="240" w:lineRule="auto"/>
      </w:pPr>
      <w:r>
        <w:separator/>
      </w:r>
    </w:p>
  </w:endnote>
  <w:endnote w:type="continuationSeparator" w:id="0">
    <w:p w14:paraId="7FA19E2D" w14:textId="77777777" w:rsidR="000F0D5C" w:rsidRDefault="000F0D5C" w:rsidP="00144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7602C" w14:textId="657E6416" w:rsidR="00144B34" w:rsidRPr="006D6CC0" w:rsidRDefault="006D6CC0">
    <w:pPr>
      <w:pStyle w:val="Footer"/>
      <w:rPr>
        <w:b/>
        <w:bCs/>
        <w:color w:val="1F3864" w:themeColor="accent1" w:themeShade="80"/>
      </w:rPr>
    </w:pPr>
    <w:r>
      <w:rPr>
        <w:b/>
        <w:bCs/>
        <w:noProof/>
        <w:color w:val="4472C4" w:themeColor="accent1"/>
      </w:rPr>
      <mc:AlternateContent>
        <mc:Choice Requires="wps">
          <w:drawing>
            <wp:anchor distT="0" distB="0" distL="114300" distR="114300" simplePos="0" relativeHeight="251659264" behindDoc="0" locked="0" layoutInCell="1" allowOverlap="1" wp14:anchorId="3CD28080" wp14:editId="35059814">
              <wp:simplePos x="0" y="0"/>
              <wp:positionH relativeFrom="column">
                <wp:posOffset>200025</wp:posOffset>
              </wp:positionH>
              <wp:positionV relativeFrom="paragraph">
                <wp:posOffset>-86360</wp:posOffset>
              </wp:positionV>
              <wp:extent cx="5429250" cy="0"/>
              <wp:effectExtent l="0" t="0" r="0" b="0"/>
              <wp:wrapNone/>
              <wp:docPr id="1926191906" name="Straight Connector 1"/>
              <wp:cNvGraphicFramePr/>
              <a:graphic xmlns:a="http://schemas.openxmlformats.org/drawingml/2006/main">
                <a:graphicData uri="http://schemas.microsoft.com/office/word/2010/wordprocessingShape">
                  <wps:wsp>
                    <wps:cNvCnPr/>
                    <wps:spPr>
                      <a:xfrm>
                        <a:off x="0" y="0"/>
                        <a:ext cx="5429250" cy="0"/>
                      </a:xfrm>
                      <a:prstGeom prst="line">
                        <a:avLst/>
                      </a:prstGeom>
                      <a:ln>
                        <a:solidFill>
                          <a:schemeClr val="accent1">
                            <a:lumMod val="50000"/>
                          </a:schemeClr>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29A713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75pt,-6.8pt" to="443.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" strokecolor="#1f3763 [1604]" strokeweight="1.5pt">
              <v:stroke joinstyle="miter"/>
            </v:line>
          </w:pict>
        </mc:Fallback>
      </mc:AlternateContent>
    </w:r>
    <w:r w:rsidR="00144B34" w:rsidRPr="006D6CC0">
      <w:rPr>
        <w:b/>
        <w:bCs/>
        <w:color w:val="1F3864" w:themeColor="accent1" w:themeShade="80"/>
      </w:rPr>
      <w:ptab w:relativeTo="margin" w:alignment="center" w:leader="none"/>
    </w:r>
    <w:r w:rsidRPr="006D6CC0">
      <w:rPr>
        <w:b/>
        <w:bCs/>
        <w:color w:val="1F3864" w:themeColor="accent1" w:themeShade="80"/>
      </w:rPr>
      <w:t xml:space="preserve">152-01 Rockaway Blvd. </w:t>
    </w:r>
    <w:r w:rsidRPr="006D6CC0">
      <w:rPr>
        <w:rFonts w:cstheme="minorHAnsi"/>
        <w:b/>
        <w:bCs/>
        <w:color w:val="1F3864" w:themeColor="accent1" w:themeShade="80"/>
      </w:rPr>
      <w:t>•</w:t>
    </w:r>
    <w:r w:rsidRPr="006D6CC0">
      <w:rPr>
        <w:b/>
        <w:bCs/>
        <w:color w:val="1F3864" w:themeColor="accent1" w:themeShade="80"/>
      </w:rPr>
      <w:t xml:space="preserve"> Jamaica, NY 11434 </w:t>
    </w:r>
    <w:r w:rsidRPr="006D6CC0">
      <w:rPr>
        <w:rFonts w:cstheme="minorHAnsi"/>
        <w:b/>
        <w:bCs/>
        <w:color w:val="1F3864" w:themeColor="accent1" w:themeShade="80"/>
      </w:rPr>
      <w:t>•</w:t>
    </w:r>
    <w:r w:rsidRPr="006D6CC0">
      <w:rPr>
        <w:b/>
        <w:bCs/>
        <w:color w:val="1F3864" w:themeColor="accent1" w:themeShade="80"/>
      </w:rPr>
      <w:t xml:space="preserve"> Tel (718) 526-5300 </w:t>
    </w:r>
    <w:r w:rsidRPr="006D6CC0">
      <w:rPr>
        <w:rFonts w:cstheme="minorHAnsi"/>
        <w:b/>
        <w:bCs/>
        <w:color w:val="1F3864" w:themeColor="accent1" w:themeShade="80"/>
      </w:rPr>
      <w:t>•</w:t>
    </w:r>
    <w:r w:rsidRPr="006D6CC0">
      <w:rPr>
        <w:b/>
        <w:bCs/>
        <w:color w:val="1F3864" w:themeColor="accent1" w:themeShade="80"/>
      </w:rPr>
      <w:t xml:space="preserve"> www.ibcinc.com</w:t>
    </w:r>
    <w:r w:rsidR="00144B34" w:rsidRPr="006D6CC0">
      <w:rPr>
        <w:b/>
        <w:bCs/>
        <w:color w:val="1F3864" w:themeColor="accent1" w:themeShade="8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3D0C7" w14:textId="77777777" w:rsidR="000F0D5C" w:rsidRDefault="000F0D5C" w:rsidP="00144B34">
      <w:pPr>
        <w:spacing w:after="0" w:line="240" w:lineRule="auto"/>
      </w:pPr>
      <w:r>
        <w:separator/>
      </w:r>
    </w:p>
  </w:footnote>
  <w:footnote w:type="continuationSeparator" w:id="0">
    <w:p w14:paraId="43ACF013" w14:textId="77777777" w:rsidR="000F0D5C" w:rsidRDefault="000F0D5C" w:rsidP="00144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720C"/>
    <w:multiLevelType w:val="hybridMultilevel"/>
    <w:tmpl w:val="2C506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6806A1"/>
    <w:multiLevelType w:val="hybridMultilevel"/>
    <w:tmpl w:val="0888A2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77E5E80"/>
    <w:multiLevelType w:val="multilevel"/>
    <w:tmpl w:val="3F3AF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407F7"/>
    <w:multiLevelType w:val="hybridMultilevel"/>
    <w:tmpl w:val="89EEF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D43F5B"/>
    <w:multiLevelType w:val="multilevel"/>
    <w:tmpl w:val="B5D0660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C87609"/>
    <w:multiLevelType w:val="hybridMultilevel"/>
    <w:tmpl w:val="354896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3DE5746"/>
    <w:multiLevelType w:val="hybridMultilevel"/>
    <w:tmpl w:val="AEC2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640029">
    <w:abstractNumId w:val="6"/>
  </w:num>
  <w:num w:numId="2" w16cid:durableId="1372223312">
    <w:abstractNumId w:val="0"/>
  </w:num>
  <w:num w:numId="3" w16cid:durableId="1140148984">
    <w:abstractNumId w:val="5"/>
  </w:num>
  <w:num w:numId="4" w16cid:durableId="2090999220">
    <w:abstractNumId w:val="4"/>
  </w:num>
  <w:num w:numId="5" w16cid:durableId="2060669414">
    <w:abstractNumId w:val="2"/>
  </w:num>
  <w:num w:numId="6" w16cid:durableId="882251358">
    <w:abstractNumId w:val="3"/>
  </w:num>
  <w:num w:numId="7" w16cid:durableId="1373728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34"/>
    <w:rsid w:val="00023863"/>
    <w:rsid w:val="000F0D5C"/>
    <w:rsid w:val="001206A6"/>
    <w:rsid w:val="00131DCC"/>
    <w:rsid w:val="00144B34"/>
    <w:rsid w:val="001803F9"/>
    <w:rsid w:val="0018785B"/>
    <w:rsid w:val="001D4E45"/>
    <w:rsid w:val="00240DFB"/>
    <w:rsid w:val="0028417B"/>
    <w:rsid w:val="002E0644"/>
    <w:rsid w:val="002F2135"/>
    <w:rsid w:val="00317DF4"/>
    <w:rsid w:val="00356680"/>
    <w:rsid w:val="0036419F"/>
    <w:rsid w:val="003818AF"/>
    <w:rsid w:val="003B761F"/>
    <w:rsid w:val="003E2CE2"/>
    <w:rsid w:val="00406D32"/>
    <w:rsid w:val="00497915"/>
    <w:rsid w:val="004A28C2"/>
    <w:rsid w:val="004B2705"/>
    <w:rsid w:val="004D6CF0"/>
    <w:rsid w:val="004F6487"/>
    <w:rsid w:val="005302C4"/>
    <w:rsid w:val="005A2F5E"/>
    <w:rsid w:val="005C1467"/>
    <w:rsid w:val="005C58FE"/>
    <w:rsid w:val="005D45EC"/>
    <w:rsid w:val="00640BB9"/>
    <w:rsid w:val="00660C36"/>
    <w:rsid w:val="006D6CC0"/>
    <w:rsid w:val="006E72A3"/>
    <w:rsid w:val="0077357A"/>
    <w:rsid w:val="007A0029"/>
    <w:rsid w:val="008C4F9C"/>
    <w:rsid w:val="008D05C6"/>
    <w:rsid w:val="0090437B"/>
    <w:rsid w:val="00951C75"/>
    <w:rsid w:val="009771D3"/>
    <w:rsid w:val="00982580"/>
    <w:rsid w:val="009D6151"/>
    <w:rsid w:val="009E57E6"/>
    <w:rsid w:val="009E657B"/>
    <w:rsid w:val="009F230A"/>
    <w:rsid w:val="00A033F0"/>
    <w:rsid w:val="00A0490F"/>
    <w:rsid w:val="00A42F48"/>
    <w:rsid w:val="00AB24D0"/>
    <w:rsid w:val="00AC6D52"/>
    <w:rsid w:val="00AE252C"/>
    <w:rsid w:val="00AF5521"/>
    <w:rsid w:val="00B60201"/>
    <w:rsid w:val="00BC3AEB"/>
    <w:rsid w:val="00BC4503"/>
    <w:rsid w:val="00BE218E"/>
    <w:rsid w:val="00C3305E"/>
    <w:rsid w:val="00C8727F"/>
    <w:rsid w:val="00CB2DA1"/>
    <w:rsid w:val="00CE6B25"/>
    <w:rsid w:val="00CF4AFF"/>
    <w:rsid w:val="00D0083C"/>
    <w:rsid w:val="00D176E2"/>
    <w:rsid w:val="00D459C3"/>
    <w:rsid w:val="00E24246"/>
    <w:rsid w:val="00E47478"/>
    <w:rsid w:val="00E6173C"/>
    <w:rsid w:val="00E767CA"/>
    <w:rsid w:val="00E92E9F"/>
    <w:rsid w:val="00EA5A9A"/>
    <w:rsid w:val="00EE4474"/>
    <w:rsid w:val="00F02684"/>
    <w:rsid w:val="00F04487"/>
    <w:rsid w:val="00F26694"/>
    <w:rsid w:val="00F93C90"/>
    <w:rsid w:val="00FD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5F221"/>
  <w15:chartTrackingRefBased/>
  <w15:docId w15:val="{4E94A32F-E83D-40BB-8B7E-87E408AB6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B34"/>
  </w:style>
  <w:style w:type="paragraph" w:styleId="Footer">
    <w:name w:val="footer"/>
    <w:basedOn w:val="Normal"/>
    <w:link w:val="FooterChar"/>
    <w:uiPriority w:val="99"/>
    <w:unhideWhenUsed/>
    <w:rsid w:val="00144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B34"/>
  </w:style>
  <w:style w:type="paragraph" w:styleId="NormalWeb">
    <w:name w:val="Normal (Web)"/>
    <w:basedOn w:val="Normal"/>
    <w:uiPriority w:val="99"/>
    <w:unhideWhenUsed/>
    <w:rsid w:val="003818A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4D6CF0"/>
    <w:rPr>
      <w:color w:val="0000FF"/>
      <w:u w:val="single"/>
    </w:rPr>
  </w:style>
  <w:style w:type="paragraph" w:customStyle="1" w:styleId="xmsonormal">
    <w:name w:val="x_msonormal"/>
    <w:basedOn w:val="Normal"/>
    <w:rsid w:val="00406D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77357A"/>
    <w:pPr>
      <w:ind w:left="720"/>
      <w:contextualSpacing/>
    </w:pPr>
  </w:style>
  <w:style w:type="character" w:styleId="UnresolvedMention">
    <w:name w:val="Unresolved Mention"/>
    <w:basedOn w:val="DefaultParagraphFont"/>
    <w:uiPriority w:val="99"/>
    <w:semiHidden/>
    <w:unhideWhenUsed/>
    <w:rsid w:val="004F6487"/>
    <w:rPr>
      <w:color w:val="605E5C"/>
      <w:shd w:val="clear" w:color="auto" w:fill="E1DFDD"/>
    </w:rPr>
  </w:style>
  <w:style w:type="character" w:styleId="FollowedHyperlink">
    <w:name w:val="FollowedHyperlink"/>
    <w:basedOn w:val="DefaultParagraphFont"/>
    <w:uiPriority w:val="99"/>
    <w:semiHidden/>
    <w:unhideWhenUsed/>
    <w:rsid w:val="004F64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33425">
      <w:bodyDiv w:val="1"/>
      <w:marLeft w:val="0"/>
      <w:marRight w:val="0"/>
      <w:marTop w:val="0"/>
      <w:marBottom w:val="0"/>
      <w:divBdr>
        <w:top w:val="none" w:sz="0" w:space="0" w:color="auto"/>
        <w:left w:val="none" w:sz="0" w:space="0" w:color="auto"/>
        <w:bottom w:val="none" w:sz="0" w:space="0" w:color="auto"/>
        <w:right w:val="none" w:sz="0" w:space="0" w:color="auto"/>
      </w:divBdr>
    </w:div>
    <w:div w:id="946813842">
      <w:bodyDiv w:val="1"/>
      <w:marLeft w:val="0"/>
      <w:marRight w:val="0"/>
      <w:marTop w:val="0"/>
      <w:marBottom w:val="0"/>
      <w:divBdr>
        <w:top w:val="none" w:sz="0" w:space="0" w:color="auto"/>
        <w:left w:val="none" w:sz="0" w:space="0" w:color="auto"/>
        <w:bottom w:val="none" w:sz="0" w:space="0" w:color="auto"/>
        <w:right w:val="none" w:sz="0" w:space="0" w:color="auto"/>
      </w:divBdr>
      <w:divsChild>
        <w:div w:id="53701402">
          <w:marLeft w:val="0"/>
          <w:marRight w:val="0"/>
          <w:marTop w:val="0"/>
          <w:marBottom w:val="0"/>
          <w:divBdr>
            <w:top w:val="none" w:sz="0" w:space="0" w:color="auto"/>
            <w:left w:val="none" w:sz="0" w:space="0" w:color="auto"/>
            <w:bottom w:val="none" w:sz="0" w:space="0" w:color="auto"/>
            <w:right w:val="none" w:sz="0" w:space="0" w:color="auto"/>
          </w:divBdr>
          <w:divsChild>
            <w:div w:id="869301367">
              <w:marLeft w:val="0"/>
              <w:marRight w:val="0"/>
              <w:marTop w:val="0"/>
              <w:marBottom w:val="0"/>
              <w:divBdr>
                <w:top w:val="none" w:sz="0" w:space="0" w:color="auto"/>
                <w:left w:val="none" w:sz="0" w:space="0" w:color="auto"/>
                <w:bottom w:val="none" w:sz="0" w:space="0" w:color="auto"/>
                <w:right w:val="none" w:sz="0" w:space="0" w:color="auto"/>
              </w:divBdr>
              <w:divsChild>
                <w:div w:id="14892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6709">
          <w:marLeft w:val="0"/>
          <w:marRight w:val="0"/>
          <w:marTop w:val="0"/>
          <w:marBottom w:val="0"/>
          <w:divBdr>
            <w:top w:val="none" w:sz="0" w:space="0" w:color="auto"/>
            <w:left w:val="none" w:sz="0" w:space="0" w:color="auto"/>
            <w:bottom w:val="none" w:sz="0" w:space="0" w:color="auto"/>
            <w:right w:val="none" w:sz="0" w:space="0" w:color="auto"/>
          </w:divBdr>
          <w:divsChild>
            <w:div w:id="232590772">
              <w:marLeft w:val="0"/>
              <w:marRight w:val="0"/>
              <w:marTop w:val="0"/>
              <w:marBottom w:val="0"/>
              <w:divBdr>
                <w:top w:val="none" w:sz="0" w:space="0" w:color="auto"/>
                <w:left w:val="none" w:sz="0" w:space="0" w:color="auto"/>
                <w:bottom w:val="none" w:sz="0" w:space="0" w:color="auto"/>
                <w:right w:val="none" w:sz="0" w:space="0" w:color="auto"/>
              </w:divBdr>
              <w:divsChild>
                <w:div w:id="2064131459">
                  <w:marLeft w:val="0"/>
                  <w:marRight w:val="0"/>
                  <w:marTop w:val="0"/>
                  <w:marBottom w:val="0"/>
                  <w:divBdr>
                    <w:top w:val="none" w:sz="0" w:space="0" w:color="auto"/>
                    <w:left w:val="none" w:sz="0" w:space="0" w:color="auto"/>
                    <w:bottom w:val="none" w:sz="0" w:space="0" w:color="auto"/>
                    <w:right w:val="none" w:sz="0" w:space="0" w:color="auto"/>
                  </w:divBdr>
                  <w:divsChild>
                    <w:div w:id="1686781696">
                      <w:marLeft w:val="0"/>
                      <w:marRight w:val="0"/>
                      <w:marTop w:val="0"/>
                      <w:marBottom w:val="0"/>
                      <w:divBdr>
                        <w:top w:val="none" w:sz="0" w:space="0" w:color="auto"/>
                        <w:left w:val="none" w:sz="0" w:space="0" w:color="auto"/>
                        <w:bottom w:val="none" w:sz="0" w:space="0" w:color="auto"/>
                        <w:right w:val="none" w:sz="0" w:space="0" w:color="auto"/>
                      </w:divBdr>
                    </w:div>
                  </w:divsChild>
                </w:div>
                <w:div w:id="941840738">
                  <w:marLeft w:val="0"/>
                  <w:marRight w:val="0"/>
                  <w:marTop w:val="0"/>
                  <w:marBottom w:val="0"/>
                  <w:divBdr>
                    <w:top w:val="none" w:sz="0" w:space="0" w:color="auto"/>
                    <w:left w:val="none" w:sz="0" w:space="0" w:color="auto"/>
                    <w:bottom w:val="none" w:sz="0" w:space="0" w:color="auto"/>
                    <w:right w:val="none" w:sz="0" w:space="0" w:color="auto"/>
                  </w:divBdr>
                  <w:divsChild>
                    <w:div w:id="67411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sc.gov/s3fs-public/CPSC-Guidance-and-HTS-List-for-Filing-of-Electronic-Certificates-6B-Cleared.pdf?VersionId=vhT04v52ap8BfHN0De1q3MLnNu1avpX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ibcinc.com/talk-to-sales" TargetMode="External"/><Relationship Id="rId4" Type="http://schemas.openxmlformats.org/officeDocument/2006/relationships/webSettings" Target="webSettings.xml"/><Relationship Id="rId9" Type="http://schemas.openxmlformats.org/officeDocument/2006/relationships/hyperlink" Target="https://www.cpsc.gov/eFi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882</Words>
  <Characters>5064</Characters>
  <Application>Microsoft Office Word</Application>
  <DocSecurity>0</DocSecurity>
  <Lines>103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Fricker</dc:creator>
  <cp:keywords/>
  <dc:description/>
  <cp:lastModifiedBy>Jean-Claude Ravani</cp:lastModifiedBy>
  <cp:revision>4</cp:revision>
  <dcterms:created xsi:type="dcterms:W3CDTF">2026-02-19T16:27:00Z</dcterms:created>
  <dcterms:modified xsi:type="dcterms:W3CDTF">2026-02-19T17:14:00Z</dcterms:modified>
</cp:coreProperties>
</file>